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6A1" w:rsidRPr="00960EAF" w:rsidRDefault="00960EAF">
      <w:pPr>
        <w:rPr>
          <w:rFonts w:ascii="標楷體" w:eastAsia="標楷體" w:hAnsi="標楷體" w:hint="eastAsia"/>
          <w:b/>
          <w:sz w:val="32"/>
          <w:szCs w:val="32"/>
        </w:rPr>
      </w:pPr>
      <w:r w:rsidRPr="00960EAF">
        <w:rPr>
          <w:rFonts w:ascii="標楷體" w:eastAsia="標楷體" w:hAnsi="標楷體" w:hint="eastAsia"/>
          <w:b/>
          <w:sz w:val="32"/>
          <w:szCs w:val="32"/>
        </w:rPr>
        <w:t>身心障礙者權益保障法</w:t>
      </w:r>
    </w:p>
    <w:p w:rsidR="00960EAF" w:rsidRPr="00960EAF" w:rsidRDefault="00960EAF" w:rsidP="00960EAF">
      <w:pPr>
        <w:rPr>
          <w:rFonts w:ascii="標楷體" w:eastAsia="標楷體" w:hAnsi="標楷體" w:hint="eastAsia"/>
        </w:rPr>
      </w:pPr>
      <w:r w:rsidRPr="00960EAF">
        <w:rPr>
          <w:rFonts w:ascii="標楷體" w:eastAsia="標楷體" w:hAnsi="標楷體" w:hint="eastAsia"/>
        </w:rPr>
        <w:t>第 59 條</w:t>
      </w:r>
      <w:r w:rsidRPr="00960EAF">
        <w:rPr>
          <w:rFonts w:ascii="標楷體" w:eastAsia="標楷體" w:hAnsi="標楷體" w:hint="eastAsia"/>
        </w:rPr>
        <w:tab/>
      </w:r>
      <w:r w:rsidRPr="00960EAF">
        <w:rPr>
          <w:rFonts w:ascii="標楷體" w:eastAsia="標楷體" w:hAnsi="標楷體" w:hint="eastAsia"/>
        </w:rPr>
        <w:tab/>
      </w:r>
    </w:p>
    <w:p w:rsidR="00960EAF" w:rsidRPr="00960EAF" w:rsidRDefault="00960EAF" w:rsidP="00960EAF">
      <w:pPr>
        <w:rPr>
          <w:rFonts w:ascii="標楷體" w:eastAsia="標楷體" w:hAnsi="標楷體" w:hint="eastAsia"/>
        </w:rPr>
      </w:pPr>
      <w:r w:rsidRPr="00960EAF">
        <w:rPr>
          <w:rFonts w:ascii="標楷體" w:eastAsia="標楷體" w:hAnsi="標楷體" w:hint="eastAsia"/>
        </w:rPr>
        <w:t>身心障礙者進入收費之公營或公設民營風景區、康樂場所或文教設施，憑身心障礙證明應予免費；其為民營者，應予半價優待。</w:t>
      </w:r>
    </w:p>
    <w:p w:rsidR="00960EAF" w:rsidRDefault="00960EAF" w:rsidP="00960EAF">
      <w:pPr>
        <w:rPr>
          <w:rFonts w:ascii="標楷體" w:eastAsia="標楷體" w:hAnsi="標楷體" w:hint="eastAsia"/>
        </w:rPr>
      </w:pPr>
      <w:r w:rsidRPr="00960EAF">
        <w:rPr>
          <w:rFonts w:ascii="標楷體" w:eastAsia="標楷體" w:hAnsi="標楷體" w:hint="eastAsia"/>
        </w:rPr>
        <w:t>身心障礙者經需求評估結果，認需人陪伴者，其必要陪伴者以一人為限，得享有前項之優待措施。</w:t>
      </w:r>
    </w:p>
    <w:p w:rsidR="00960EAF" w:rsidRPr="00960EAF" w:rsidRDefault="00960EAF" w:rsidP="00960EAF">
      <w:pPr>
        <w:rPr>
          <w:rFonts w:ascii="標楷體" w:eastAsia="標楷體" w:hAnsi="標楷體" w:hint="eastAsia"/>
        </w:rPr>
      </w:pPr>
    </w:p>
    <w:p w:rsidR="00960EAF" w:rsidRPr="00960EAF" w:rsidRDefault="00960EAF" w:rsidP="00960EAF">
      <w:pPr>
        <w:rPr>
          <w:rFonts w:ascii="標楷體" w:eastAsia="標楷體" w:hAnsi="標楷體" w:hint="eastAsia"/>
        </w:rPr>
      </w:pPr>
      <w:r w:rsidRPr="00960EAF">
        <w:rPr>
          <w:rFonts w:ascii="標楷體" w:eastAsia="標楷體" w:hAnsi="標楷體" w:hint="eastAsia"/>
        </w:rPr>
        <w:t>第 104-1 條</w:t>
      </w:r>
      <w:r w:rsidRPr="00960EAF">
        <w:rPr>
          <w:rFonts w:ascii="標楷體" w:eastAsia="標楷體" w:hAnsi="標楷體" w:hint="eastAsia"/>
        </w:rPr>
        <w:tab/>
      </w:r>
      <w:r w:rsidRPr="00960EAF">
        <w:rPr>
          <w:rFonts w:ascii="標楷體" w:eastAsia="標楷體" w:hAnsi="標楷體" w:hint="eastAsia"/>
        </w:rPr>
        <w:tab/>
      </w:r>
    </w:p>
    <w:p w:rsidR="00960EAF" w:rsidRPr="00960EAF" w:rsidRDefault="00960EAF" w:rsidP="00960EAF">
      <w:pPr>
        <w:rPr>
          <w:rFonts w:ascii="標楷體" w:eastAsia="標楷體" w:hAnsi="標楷體" w:hint="eastAsia"/>
        </w:rPr>
      </w:pPr>
      <w:r w:rsidRPr="00960EAF">
        <w:rPr>
          <w:rFonts w:ascii="標楷體" w:eastAsia="標楷體" w:hAnsi="標楷體" w:hint="eastAsia"/>
        </w:rPr>
        <w:t>違反第五十九條規定者，經主管機關令限期改善，仍不改善者，予以警告；經警告仍不改善者，處新臺幣一萬元以上五萬元以下罰鍰；其情節重大者，並得公告其事業單位及負責人姓名。</w:t>
      </w:r>
    </w:p>
    <w:p w:rsidR="00960EAF" w:rsidRDefault="00960EAF" w:rsidP="00960EAF">
      <w:pPr>
        <w:rPr>
          <w:rFonts w:ascii="標楷體" w:eastAsia="標楷體" w:hAnsi="標楷體" w:hint="eastAsia"/>
        </w:rPr>
      </w:pPr>
    </w:p>
    <w:p w:rsidR="00960EAF" w:rsidRPr="00960EAF" w:rsidRDefault="00960EAF" w:rsidP="00960EAF">
      <w:pPr>
        <w:rPr>
          <w:rFonts w:ascii="標楷體" w:eastAsia="標楷體" w:hAnsi="標楷體" w:hint="eastAsia"/>
        </w:rPr>
      </w:pPr>
    </w:p>
    <w:p w:rsidR="00960EAF" w:rsidRPr="00960EAF" w:rsidRDefault="00960EAF" w:rsidP="00960EAF">
      <w:pPr>
        <w:rPr>
          <w:rFonts w:ascii="標楷體" w:eastAsia="標楷體" w:hAnsi="標楷體" w:hint="eastAsia"/>
          <w:b/>
          <w:sz w:val="32"/>
          <w:szCs w:val="32"/>
        </w:rPr>
      </w:pPr>
      <w:r w:rsidRPr="00960EAF">
        <w:rPr>
          <w:rFonts w:ascii="標楷體" w:eastAsia="標楷體" w:hAnsi="標楷體" w:hint="eastAsia"/>
          <w:b/>
          <w:sz w:val="32"/>
          <w:szCs w:val="32"/>
        </w:rPr>
        <w:t>高雄市政府處理違反身心障礙者權益保障法案件裁罰基準</w:t>
      </w:r>
    </w:p>
    <w:tbl>
      <w:tblPr>
        <w:tblStyle w:val="a3"/>
        <w:tblW w:w="9640" w:type="dxa"/>
        <w:tblInd w:w="-318" w:type="dxa"/>
        <w:tblLook w:val="04A0"/>
      </w:tblPr>
      <w:tblGrid>
        <w:gridCol w:w="568"/>
        <w:gridCol w:w="2268"/>
        <w:gridCol w:w="709"/>
        <w:gridCol w:w="2410"/>
        <w:gridCol w:w="992"/>
        <w:gridCol w:w="2693"/>
      </w:tblGrid>
      <w:tr w:rsidR="00960EAF" w:rsidRPr="00960EAF" w:rsidTr="00960EAF">
        <w:tc>
          <w:tcPr>
            <w:tcW w:w="568" w:type="dxa"/>
            <w:vAlign w:val="center"/>
          </w:tcPr>
          <w:p w:rsidR="00960EAF" w:rsidRPr="00960EAF" w:rsidRDefault="00960EAF" w:rsidP="00FF14DC">
            <w:pPr>
              <w:spacing w:line="340" w:lineRule="exact"/>
              <w:jc w:val="center"/>
              <w:rPr>
                <w:rFonts w:ascii="標楷體" w:eastAsia="標楷體" w:hAnsi="標楷體" w:cs="Times New Roman" w:hint="eastAsia"/>
              </w:rPr>
            </w:pPr>
            <w:r w:rsidRPr="00960EAF">
              <w:rPr>
                <w:rFonts w:ascii="標楷體" w:eastAsia="標楷體" w:hAnsi="標楷體" w:cs="Times New Roman" w:hint="eastAsia"/>
              </w:rPr>
              <w:t>項次</w:t>
            </w:r>
          </w:p>
        </w:tc>
        <w:tc>
          <w:tcPr>
            <w:tcW w:w="2268" w:type="dxa"/>
            <w:vAlign w:val="center"/>
          </w:tcPr>
          <w:p w:rsidR="00960EAF" w:rsidRPr="00960EAF" w:rsidRDefault="00960EAF" w:rsidP="00FF14DC">
            <w:pPr>
              <w:widowControl/>
              <w:spacing w:line="340" w:lineRule="exact"/>
              <w:jc w:val="center"/>
              <w:rPr>
                <w:rFonts w:ascii="標楷體" w:eastAsia="標楷體" w:hAnsi="標楷體" w:cs="新細明體" w:hint="eastAsia"/>
              </w:rPr>
            </w:pPr>
            <w:r w:rsidRPr="00960EAF">
              <w:rPr>
                <w:rFonts w:ascii="標楷體" w:eastAsia="標楷體" w:hAnsi="標楷體" w:cs="新細明體" w:hint="eastAsia"/>
              </w:rPr>
              <w:t>違法</w:t>
            </w:r>
          </w:p>
          <w:p w:rsidR="00960EAF" w:rsidRPr="00960EAF" w:rsidRDefault="00960EAF" w:rsidP="00FF14DC">
            <w:pPr>
              <w:widowControl/>
              <w:spacing w:line="340" w:lineRule="exact"/>
              <w:jc w:val="center"/>
              <w:rPr>
                <w:rFonts w:ascii="標楷體" w:eastAsia="標楷體" w:hAnsi="標楷體" w:cs="新細明體" w:hint="eastAsia"/>
              </w:rPr>
            </w:pPr>
            <w:r w:rsidRPr="00960EAF">
              <w:rPr>
                <w:rFonts w:ascii="標楷體" w:eastAsia="標楷體" w:hAnsi="標楷體" w:cs="新細明體" w:hint="eastAsia"/>
              </w:rPr>
              <w:t>事實</w:t>
            </w:r>
          </w:p>
        </w:tc>
        <w:tc>
          <w:tcPr>
            <w:tcW w:w="709" w:type="dxa"/>
            <w:vAlign w:val="center"/>
          </w:tcPr>
          <w:p w:rsidR="00960EAF" w:rsidRPr="00960EAF" w:rsidRDefault="00960EAF" w:rsidP="00FF14DC">
            <w:pPr>
              <w:widowControl/>
              <w:spacing w:line="340" w:lineRule="exact"/>
              <w:jc w:val="center"/>
              <w:rPr>
                <w:rFonts w:ascii="標楷體" w:eastAsia="標楷體" w:hAnsi="標楷體" w:cs="新細明體" w:hint="eastAsia"/>
              </w:rPr>
            </w:pPr>
            <w:r w:rsidRPr="00960EAF">
              <w:rPr>
                <w:rFonts w:ascii="標楷體" w:eastAsia="標楷體" w:hAnsi="標楷體" w:cs="新細明體" w:hint="eastAsia"/>
              </w:rPr>
              <w:t>裁罰</w:t>
            </w:r>
          </w:p>
          <w:p w:rsidR="00960EAF" w:rsidRPr="00960EAF" w:rsidRDefault="00960EAF" w:rsidP="00FF14DC">
            <w:pPr>
              <w:widowControl/>
              <w:spacing w:line="340" w:lineRule="exact"/>
              <w:jc w:val="center"/>
              <w:rPr>
                <w:rFonts w:ascii="標楷體" w:eastAsia="標楷體" w:hAnsi="標楷體" w:cs="新細明體" w:hint="eastAsia"/>
              </w:rPr>
            </w:pPr>
            <w:r w:rsidRPr="00960EAF">
              <w:rPr>
                <w:rFonts w:ascii="標楷體" w:eastAsia="標楷體" w:hAnsi="標楷體" w:cs="新細明體" w:hint="eastAsia"/>
              </w:rPr>
              <w:t>依據</w:t>
            </w:r>
          </w:p>
        </w:tc>
        <w:tc>
          <w:tcPr>
            <w:tcW w:w="2410" w:type="dxa"/>
            <w:vAlign w:val="center"/>
          </w:tcPr>
          <w:p w:rsidR="00960EAF" w:rsidRPr="00960EAF" w:rsidRDefault="00960EAF" w:rsidP="00FF14DC">
            <w:pPr>
              <w:widowControl/>
              <w:spacing w:line="340" w:lineRule="exact"/>
              <w:jc w:val="center"/>
              <w:rPr>
                <w:rFonts w:ascii="標楷體" w:eastAsia="標楷體" w:hAnsi="標楷體" w:cs="新細明體" w:hint="eastAsia"/>
              </w:rPr>
            </w:pPr>
            <w:r w:rsidRPr="00960EAF">
              <w:rPr>
                <w:rFonts w:ascii="標楷體" w:eastAsia="標楷體" w:hAnsi="標楷體" w:cs="新細明體" w:hint="eastAsia"/>
              </w:rPr>
              <w:t>裁罰</w:t>
            </w:r>
          </w:p>
          <w:p w:rsidR="00960EAF" w:rsidRPr="00960EAF" w:rsidRDefault="00960EAF" w:rsidP="00FF14DC">
            <w:pPr>
              <w:widowControl/>
              <w:spacing w:line="340" w:lineRule="exact"/>
              <w:jc w:val="center"/>
              <w:rPr>
                <w:rFonts w:ascii="標楷體" w:eastAsia="標楷體" w:hAnsi="標楷體" w:cs="新細明體" w:hint="eastAsia"/>
              </w:rPr>
            </w:pPr>
            <w:r w:rsidRPr="00960EAF">
              <w:rPr>
                <w:rFonts w:ascii="標楷體" w:eastAsia="標楷體" w:hAnsi="標楷體" w:cs="新細明體" w:hint="eastAsia"/>
              </w:rPr>
              <w:t>內容</w:t>
            </w:r>
          </w:p>
        </w:tc>
        <w:tc>
          <w:tcPr>
            <w:tcW w:w="992" w:type="dxa"/>
            <w:vAlign w:val="center"/>
          </w:tcPr>
          <w:p w:rsidR="00960EAF" w:rsidRPr="00960EAF" w:rsidRDefault="00960EAF" w:rsidP="00FF14DC">
            <w:pPr>
              <w:widowControl/>
              <w:spacing w:line="340" w:lineRule="exact"/>
              <w:jc w:val="center"/>
              <w:rPr>
                <w:rFonts w:ascii="標楷體" w:eastAsia="標楷體" w:hAnsi="標楷體" w:cs="新細明體" w:hint="eastAsia"/>
              </w:rPr>
            </w:pPr>
            <w:r w:rsidRPr="00960EAF">
              <w:rPr>
                <w:rFonts w:ascii="標楷體" w:eastAsia="標楷體" w:hAnsi="標楷體" w:cs="新細明體" w:hint="eastAsia"/>
              </w:rPr>
              <w:t>裁罰</w:t>
            </w:r>
          </w:p>
          <w:p w:rsidR="00960EAF" w:rsidRPr="00960EAF" w:rsidRDefault="00960EAF" w:rsidP="00FF14DC">
            <w:pPr>
              <w:widowControl/>
              <w:spacing w:line="340" w:lineRule="exact"/>
              <w:jc w:val="center"/>
              <w:rPr>
                <w:rFonts w:ascii="標楷體" w:eastAsia="標楷體" w:hAnsi="標楷體" w:cs="新細明體" w:hint="eastAsia"/>
              </w:rPr>
            </w:pPr>
            <w:r w:rsidRPr="00960EAF">
              <w:rPr>
                <w:rFonts w:ascii="標楷體" w:eastAsia="標楷體" w:hAnsi="標楷體" w:cs="新細明體" w:hint="eastAsia"/>
              </w:rPr>
              <w:t>對象</w:t>
            </w:r>
          </w:p>
        </w:tc>
        <w:tc>
          <w:tcPr>
            <w:tcW w:w="2693" w:type="dxa"/>
            <w:vAlign w:val="center"/>
          </w:tcPr>
          <w:p w:rsidR="00960EAF" w:rsidRPr="00960EAF" w:rsidRDefault="00960EAF" w:rsidP="00FF14DC">
            <w:pPr>
              <w:widowControl/>
              <w:spacing w:line="340" w:lineRule="exact"/>
              <w:jc w:val="center"/>
              <w:rPr>
                <w:rFonts w:ascii="標楷體" w:eastAsia="標楷體" w:hAnsi="標楷體" w:cs="新細明體" w:hint="eastAsia"/>
              </w:rPr>
            </w:pPr>
            <w:r w:rsidRPr="00960EAF">
              <w:rPr>
                <w:rFonts w:ascii="標楷體" w:eastAsia="標楷體" w:hAnsi="標楷體" w:cs="新細明體" w:hint="eastAsia"/>
              </w:rPr>
              <w:t>裁罰基準（新臺幣：元）</w:t>
            </w:r>
          </w:p>
        </w:tc>
      </w:tr>
      <w:tr w:rsidR="00960EAF" w:rsidRPr="00960EAF" w:rsidTr="00960EAF">
        <w:tc>
          <w:tcPr>
            <w:tcW w:w="568" w:type="dxa"/>
          </w:tcPr>
          <w:p w:rsidR="00960EAF" w:rsidRPr="00960EAF" w:rsidRDefault="00960EAF" w:rsidP="00960EAF">
            <w:pPr>
              <w:rPr>
                <w:rFonts w:ascii="標楷體" w:eastAsia="標楷體" w:hAnsi="標楷體"/>
              </w:rPr>
            </w:pPr>
            <w:r w:rsidRPr="00960EAF">
              <w:rPr>
                <w:rFonts w:ascii="標楷體" w:eastAsia="標楷體" w:hAnsi="標楷體" w:hint="eastAsia"/>
              </w:rPr>
              <w:t>三十三</w:t>
            </w:r>
          </w:p>
        </w:tc>
        <w:tc>
          <w:tcPr>
            <w:tcW w:w="2268" w:type="dxa"/>
          </w:tcPr>
          <w:p w:rsidR="00960EAF" w:rsidRPr="00960EAF" w:rsidRDefault="00960EAF" w:rsidP="00FF14DC">
            <w:pPr>
              <w:pStyle w:val="HTML"/>
              <w:jc w:val="both"/>
              <w:rPr>
                <w:rFonts w:ascii="標楷體" w:eastAsia="標楷體" w:hAnsi="標楷體" w:cs="細明體" w:hint="eastAsia"/>
                <w:lang w:val="en-US" w:eastAsia="zh-TW"/>
              </w:rPr>
            </w:pPr>
            <w:r w:rsidRPr="00960EAF">
              <w:rPr>
                <w:rFonts w:ascii="標楷體" w:eastAsia="標楷體" w:hAnsi="標楷體" w:cs="細明體"/>
                <w:lang w:val="en-US" w:eastAsia="zh-TW"/>
              </w:rPr>
              <w:t>公營</w:t>
            </w:r>
            <w:r w:rsidRPr="00960EAF">
              <w:rPr>
                <w:rFonts w:ascii="標楷體" w:eastAsia="標楷體" w:hAnsi="標楷體" w:cs="細明體" w:hint="eastAsia"/>
                <w:lang w:val="en-US" w:eastAsia="zh-TW"/>
              </w:rPr>
              <w:t>、</w:t>
            </w:r>
            <w:r w:rsidRPr="00960EAF">
              <w:rPr>
                <w:rFonts w:ascii="標楷體" w:eastAsia="標楷體" w:hAnsi="標楷體" w:cs="細明體"/>
                <w:lang w:val="en-US" w:eastAsia="zh-TW"/>
              </w:rPr>
              <w:t>公設民</w:t>
            </w:r>
            <w:r w:rsidRPr="00960EAF">
              <w:rPr>
                <w:rFonts w:ascii="標楷體" w:eastAsia="標楷體" w:hAnsi="標楷體" w:cs="細明體" w:hint="eastAsia"/>
                <w:lang w:val="en-US" w:eastAsia="zh-TW"/>
              </w:rPr>
              <w:t>營或民營</w:t>
            </w:r>
            <w:r w:rsidRPr="00960EAF">
              <w:rPr>
                <w:rFonts w:ascii="標楷體" w:eastAsia="標楷體" w:hAnsi="標楷體" w:cs="細明體"/>
                <w:lang w:val="en-US" w:eastAsia="zh-TW"/>
              </w:rPr>
              <w:t>風景區、康樂場所或文教設</w:t>
            </w:r>
            <w:r w:rsidRPr="00960EAF">
              <w:rPr>
                <w:rFonts w:ascii="標楷體" w:eastAsia="標楷體" w:hAnsi="標楷體" w:cs="細明體" w:hint="eastAsia"/>
                <w:lang w:val="en-US" w:eastAsia="zh-TW"/>
              </w:rPr>
              <w:t>施之經營者，違反第五十九條第一項或第二項規定，未給予持有身心障礙證明之身心障礙者或其陪伴者免費入園或半價優待者。</w:t>
            </w:r>
          </w:p>
        </w:tc>
        <w:tc>
          <w:tcPr>
            <w:tcW w:w="709" w:type="dxa"/>
          </w:tcPr>
          <w:p w:rsidR="00960EAF" w:rsidRPr="00960EAF" w:rsidRDefault="00960EAF" w:rsidP="00FF14DC">
            <w:pPr>
              <w:spacing w:line="300" w:lineRule="exact"/>
              <w:jc w:val="both"/>
              <w:rPr>
                <w:rFonts w:ascii="標楷體" w:eastAsia="標楷體" w:hAnsi="標楷體" w:cs="新細明體" w:hint="eastAsia"/>
              </w:rPr>
            </w:pPr>
            <w:r w:rsidRPr="00960EAF">
              <w:rPr>
                <w:rFonts w:ascii="標楷體" w:eastAsia="標楷體" w:hAnsi="標楷體" w:cs="新細明體" w:hint="eastAsia"/>
              </w:rPr>
              <w:t>第一百零四條之一</w:t>
            </w:r>
          </w:p>
        </w:tc>
        <w:tc>
          <w:tcPr>
            <w:tcW w:w="2410" w:type="dxa"/>
          </w:tcPr>
          <w:p w:rsidR="00960EAF" w:rsidRPr="00960EAF" w:rsidRDefault="00960EAF" w:rsidP="00FF14DC">
            <w:pPr>
              <w:spacing w:line="300" w:lineRule="exact"/>
              <w:jc w:val="both"/>
              <w:rPr>
                <w:rFonts w:ascii="標楷體" w:eastAsia="標楷體" w:hAnsi="標楷體" w:cs="新細明體" w:hint="eastAsia"/>
              </w:rPr>
            </w:pPr>
            <w:r w:rsidRPr="00960EAF">
              <w:rPr>
                <w:rFonts w:ascii="標楷體" w:eastAsia="標楷體" w:hAnsi="標楷體" w:cs="新細明體" w:hint="eastAsia"/>
              </w:rPr>
              <w:t>令限期改善，仍不改善者，予以警告；經警告仍不改善者，處新臺幣一萬元以上五萬元以下罰鍰；其情節重大者，並得公告其事業單位及負責人姓名。</w:t>
            </w:r>
          </w:p>
        </w:tc>
        <w:tc>
          <w:tcPr>
            <w:tcW w:w="992" w:type="dxa"/>
          </w:tcPr>
          <w:p w:rsidR="00960EAF" w:rsidRPr="00960EAF" w:rsidRDefault="00960EAF" w:rsidP="00FF14DC">
            <w:pPr>
              <w:widowControl/>
              <w:spacing w:line="300" w:lineRule="exact"/>
              <w:ind w:rightChars="-4" w:right="-10"/>
              <w:jc w:val="both"/>
              <w:rPr>
                <w:rFonts w:ascii="標楷體" w:eastAsia="標楷體" w:hAnsi="標楷體" w:cs="新細明體" w:hint="eastAsia"/>
              </w:rPr>
            </w:pPr>
            <w:r w:rsidRPr="00960EAF">
              <w:rPr>
                <w:rFonts w:ascii="標楷體" w:eastAsia="標楷體" w:hAnsi="標楷體" w:cs="新細明體" w:hint="eastAsia"/>
              </w:rPr>
              <w:t>管理機關（構）或業者</w:t>
            </w:r>
          </w:p>
        </w:tc>
        <w:tc>
          <w:tcPr>
            <w:tcW w:w="2693" w:type="dxa"/>
          </w:tcPr>
          <w:p w:rsidR="00960EAF" w:rsidRPr="00960EAF" w:rsidRDefault="00960EAF" w:rsidP="00FF14DC">
            <w:pPr>
              <w:pStyle w:val="HTML"/>
              <w:rPr>
                <w:rFonts w:ascii="標楷體" w:eastAsia="標楷體" w:hAnsi="標楷體" w:cs="細明體"/>
                <w:lang w:val="en-US" w:eastAsia="zh-TW"/>
              </w:rPr>
            </w:pPr>
            <w:r w:rsidRPr="00960EAF">
              <w:rPr>
                <w:rFonts w:ascii="標楷體" w:eastAsia="標楷體" w:hAnsi="標楷體" w:cs="細明體"/>
                <w:lang w:val="en-US" w:eastAsia="zh-TW"/>
              </w:rPr>
              <w:t>經令限期十五日內改善，屆期未改善者，予以警告；經警告仍不改善者，處以下</w:t>
            </w:r>
            <w:r w:rsidRPr="00960EAF">
              <w:rPr>
                <w:rFonts w:ascii="標楷體" w:eastAsia="標楷體" w:hAnsi="標楷體" w:cs="細明體" w:hint="eastAsia"/>
                <w:lang w:val="en-US" w:eastAsia="zh-TW"/>
              </w:rPr>
              <w:t>列</w:t>
            </w:r>
            <w:r w:rsidRPr="00960EAF">
              <w:rPr>
                <w:rFonts w:ascii="標楷體" w:eastAsia="標楷體" w:hAnsi="標楷體" w:cs="細明體"/>
                <w:lang w:val="en-US" w:eastAsia="zh-TW"/>
              </w:rPr>
              <w:t>罰鍰</w:t>
            </w:r>
            <w:r w:rsidRPr="00960EAF">
              <w:rPr>
                <w:rFonts w:ascii="標楷體" w:eastAsia="標楷體" w:hAnsi="標楷體" w:cs="細明體" w:hint="eastAsia"/>
                <w:lang w:val="en-US" w:eastAsia="zh-TW"/>
              </w:rPr>
              <w:t>，</w:t>
            </w:r>
            <w:r w:rsidRPr="00960EAF">
              <w:rPr>
                <w:rFonts w:ascii="標楷體" w:eastAsia="標楷體" w:hAnsi="標楷體" w:cs="細明體"/>
                <w:lang w:val="en-US" w:eastAsia="zh-TW"/>
              </w:rPr>
              <w:t>其情節重大者，</w:t>
            </w:r>
            <w:r w:rsidRPr="00960EAF">
              <w:rPr>
                <w:rFonts w:ascii="標楷體" w:eastAsia="標楷體" w:hAnsi="標楷體" w:cs="細明體" w:hint="eastAsia"/>
                <w:lang w:val="en-US" w:eastAsia="zh-TW"/>
              </w:rPr>
              <w:t>並得</w:t>
            </w:r>
            <w:r w:rsidRPr="00960EAF">
              <w:rPr>
                <w:rFonts w:ascii="標楷體" w:eastAsia="標楷體" w:hAnsi="標楷體" w:cs="細明體"/>
                <w:lang w:val="en-US" w:eastAsia="zh-TW"/>
              </w:rPr>
              <w:t>公告其事業單位及負責人姓名：</w:t>
            </w:r>
          </w:p>
          <w:p w:rsidR="00960EAF" w:rsidRPr="00960EAF" w:rsidRDefault="00960EAF" w:rsidP="00FF14DC">
            <w:pPr>
              <w:pStyle w:val="HTML"/>
              <w:rPr>
                <w:rFonts w:ascii="標楷體" w:eastAsia="標楷體" w:hAnsi="標楷體" w:cs="細明體" w:hint="eastAsia"/>
                <w:lang w:val="en-US" w:eastAsia="zh-TW"/>
              </w:rPr>
            </w:pPr>
            <w:r w:rsidRPr="00960EAF">
              <w:rPr>
                <w:rFonts w:ascii="標楷體" w:eastAsia="標楷體" w:hAnsi="標楷體" w:cs="細明體"/>
                <w:lang w:val="en-US" w:eastAsia="zh-TW"/>
              </w:rPr>
              <w:t>一、第一次處新臺幣一萬元罰鍰，並</w:t>
            </w:r>
          </w:p>
          <w:p w:rsidR="00960EAF" w:rsidRPr="00960EAF" w:rsidRDefault="00960EAF" w:rsidP="00FF14DC">
            <w:pPr>
              <w:pStyle w:val="HTML"/>
              <w:ind w:firstLineChars="200" w:firstLine="480"/>
              <w:rPr>
                <w:rFonts w:ascii="標楷體" w:eastAsia="標楷體" w:hAnsi="標楷體" w:cs="細明體"/>
                <w:lang w:val="en-US" w:eastAsia="zh-TW"/>
              </w:rPr>
            </w:pPr>
            <w:r w:rsidRPr="00960EAF">
              <w:rPr>
                <w:rFonts w:ascii="標楷體" w:eastAsia="標楷體" w:hAnsi="標楷體" w:cs="細明體"/>
                <w:lang w:val="en-US" w:eastAsia="zh-TW"/>
              </w:rPr>
              <w:t>限期十日內改善。</w:t>
            </w:r>
          </w:p>
          <w:p w:rsidR="00960EAF" w:rsidRPr="00960EAF" w:rsidRDefault="00960EAF" w:rsidP="00FF14DC">
            <w:pPr>
              <w:pStyle w:val="HTML"/>
              <w:rPr>
                <w:rFonts w:ascii="標楷體" w:eastAsia="標楷體" w:hAnsi="標楷體" w:cs="細明體" w:hint="eastAsia"/>
                <w:lang w:val="en-US" w:eastAsia="zh-TW"/>
              </w:rPr>
            </w:pPr>
            <w:r w:rsidRPr="00960EAF">
              <w:rPr>
                <w:rFonts w:ascii="標楷體" w:eastAsia="標楷體" w:hAnsi="標楷體" w:cs="細明體"/>
                <w:lang w:val="en-US" w:eastAsia="zh-TW"/>
              </w:rPr>
              <w:t>二、經令限期改善而未改善者，第二</w:t>
            </w:r>
          </w:p>
          <w:p w:rsidR="00960EAF" w:rsidRPr="00960EAF" w:rsidRDefault="00960EAF" w:rsidP="00FF14DC">
            <w:pPr>
              <w:pStyle w:val="HTML"/>
              <w:ind w:firstLineChars="200" w:firstLine="480"/>
              <w:rPr>
                <w:rFonts w:ascii="標楷體" w:eastAsia="標楷體" w:hAnsi="標楷體" w:cs="細明體" w:hint="eastAsia"/>
                <w:lang w:val="en-US" w:eastAsia="zh-TW"/>
              </w:rPr>
            </w:pPr>
            <w:r w:rsidRPr="00960EAF">
              <w:rPr>
                <w:rFonts w:ascii="標楷體" w:eastAsia="標楷體" w:hAnsi="標楷體" w:cs="細明體"/>
                <w:lang w:val="en-US" w:eastAsia="zh-TW"/>
              </w:rPr>
              <w:t>次處新臺幣三萬元罰鍰，並限期</w:t>
            </w:r>
          </w:p>
          <w:p w:rsidR="00960EAF" w:rsidRPr="00960EAF" w:rsidRDefault="00960EAF" w:rsidP="00FF14DC">
            <w:pPr>
              <w:pStyle w:val="HTML"/>
              <w:ind w:firstLineChars="200" w:firstLine="480"/>
              <w:rPr>
                <w:rFonts w:ascii="標楷體" w:eastAsia="標楷體" w:hAnsi="標楷體" w:cs="細明體"/>
                <w:lang w:val="en-US" w:eastAsia="zh-TW"/>
              </w:rPr>
            </w:pPr>
            <w:r w:rsidRPr="00960EAF">
              <w:rPr>
                <w:rFonts w:ascii="標楷體" w:eastAsia="標楷體" w:hAnsi="標楷體" w:cs="細明體"/>
                <w:lang w:val="en-US" w:eastAsia="zh-TW"/>
              </w:rPr>
              <w:t>五日內改善。</w:t>
            </w:r>
          </w:p>
          <w:p w:rsidR="00960EAF" w:rsidRPr="00960EAF" w:rsidRDefault="00960EAF" w:rsidP="00FF14DC">
            <w:pPr>
              <w:pStyle w:val="HTML"/>
              <w:rPr>
                <w:rFonts w:ascii="標楷體" w:eastAsia="標楷體" w:hAnsi="標楷體" w:cs="細明體" w:hint="eastAsia"/>
                <w:lang w:val="en-US" w:eastAsia="zh-TW"/>
              </w:rPr>
            </w:pPr>
            <w:r w:rsidRPr="00960EAF">
              <w:rPr>
                <w:rFonts w:ascii="標楷體" w:eastAsia="標楷體" w:hAnsi="標楷體" w:cs="細明體" w:hint="eastAsia"/>
                <w:lang w:val="en-US" w:eastAsia="zh-TW"/>
              </w:rPr>
              <w:t>三、</w:t>
            </w:r>
            <w:r w:rsidRPr="00960EAF">
              <w:rPr>
                <w:rFonts w:ascii="標楷體" w:eastAsia="標楷體" w:hAnsi="標楷體" w:cs="細明體"/>
                <w:lang w:val="en-US" w:eastAsia="zh-TW"/>
              </w:rPr>
              <w:t>經令限期改善仍未改善者，第三</w:t>
            </w:r>
            <w:r w:rsidRPr="00960EAF">
              <w:rPr>
                <w:rFonts w:ascii="標楷體" w:eastAsia="標楷體" w:hAnsi="標楷體" w:cs="細明體" w:hint="eastAsia"/>
                <w:lang w:val="en-US" w:eastAsia="zh-TW"/>
              </w:rPr>
              <w:t xml:space="preserve"> </w:t>
            </w:r>
          </w:p>
          <w:p w:rsidR="00960EAF" w:rsidRPr="00960EAF" w:rsidRDefault="00960EAF" w:rsidP="00FF14DC">
            <w:pPr>
              <w:pStyle w:val="HTML"/>
              <w:rPr>
                <w:rFonts w:ascii="標楷體" w:eastAsia="標楷體" w:hAnsi="標楷體" w:cs="細明體" w:hint="eastAsia"/>
                <w:lang w:val="en-US" w:eastAsia="zh-TW"/>
              </w:rPr>
            </w:pPr>
            <w:r w:rsidRPr="00960EAF">
              <w:rPr>
                <w:rFonts w:ascii="標楷體" w:eastAsia="標楷體" w:hAnsi="標楷體" w:cs="細明體" w:hint="eastAsia"/>
                <w:lang w:val="en-US" w:eastAsia="zh-TW"/>
              </w:rPr>
              <w:t xml:space="preserve">    </w:t>
            </w:r>
            <w:r w:rsidRPr="00960EAF">
              <w:rPr>
                <w:rFonts w:ascii="標楷體" w:eastAsia="標楷體" w:hAnsi="標楷體" w:cs="細明體"/>
                <w:lang w:val="en-US" w:eastAsia="zh-TW"/>
              </w:rPr>
              <w:t>次以上處新臺幣五萬元罰鍰，並</w:t>
            </w:r>
          </w:p>
          <w:p w:rsidR="00960EAF" w:rsidRPr="00960EAF" w:rsidRDefault="00960EAF" w:rsidP="00FF14DC">
            <w:pPr>
              <w:pStyle w:val="HTML"/>
              <w:rPr>
                <w:rFonts w:ascii="標楷體" w:eastAsia="標楷體" w:hAnsi="標楷體" w:cs="細明體" w:hint="eastAsia"/>
                <w:lang w:val="en-US" w:eastAsia="zh-TW"/>
              </w:rPr>
            </w:pPr>
            <w:r w:rsidRPr="00960EAF">
              <w:rPr>
                <w:rFonts w:ascii="標楷體" w:eastAsia="標楷體" w:hAnsi="標楷體" w:cs="細明體" w:hint="eastAsia"/>
                <w:lang w:val="en-US" w:eastAsia="zh-TW"/>
              </w:rPr>
              <w:t xml:space="preserve">    </w:t>
            </w:r>
            <w:r w:rsidRPr="00960EAF">
              <w:rPr>
                <w:rFonts w:ascii="標楷體" w:eastAsia="標楷體" w:hAnsi="標楷體" w:cs="細明體"/>
                <w:lang w:val="en-US" w:eastAsia="zh-TW"/>
              </w:rPr>
              <w:t xml:space="preserve">限立即改善。 </w:t>
            </w:r>
          </w:p>
        </w:tc>
      </w:tr>
    </w:tbl>
    <w:p w:rsidR="00960EAF" w:rsidRPr="00960EAF" w:rsidRDefault="00960EAF" w:rsidP="00960EAF">
      <w:pPr>
        <w:rPr>
          <w:rFonts w:ascii="標楷體" w:eastAsia="標楷體" w:hAnsi="標楷體"/>
        </w:rPr>
      </w:pPr>
    </w:p>
    <w:sectPr w:rsidR="00960EAF" w:rsidRPr="00960EAF" w:rsidSect="00960EAF">
      <w:pgSz w:w="11906" w:h="16838"/>
      <w:pgMar w:top="851"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60EAF"/>
    <w:rsid w:val="008569F9"/>
    <w:rsid w:val="008F26A1"/>
    <w:rsid w:val="00960EAF"/>
    <w:rsid w:val="00D954C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6A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0E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960E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lang/>
    </w:rPr>
  </w:style>
  <w:style w:type="character" w:customStyle="1" w:styleId="HTML0">
    <w:name w:val="HTML 預設格式 字元"/>
    <w:basedOn w:val="a0"/>
    <w:link w:val="HTML"/>
    <w:rsid w:val="00960EAF"/>
    <w:rPr>
      <w:rFonts w:ascii="細明體" w:eastAsia="細明體" w:hAnsi="細明體" w:cs="Times New Roman"/>
      <w:kern w:val="0"/>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94</Words>
  <Characters>540</Characters>
  <Application>Microsoft Office Word</Application>
  <DocSecurity>0</DocSecurity>
  <Lines>4</Lines>
  <Paragraphs>1</Paragraphs>
  <ScaleCrop>false</ScaleCrop>
  <Company/>
  <LinksUpToDate>false</LinksUpToDate>
  <CharactersWithSpaces>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2017-11-08T06:37:00Z</cp:lastPrinted>
  <dcterms:created xsi:type="dcterms:W3CDTF">2017-11-08T06:28:00Z</dcterms:created>
  <dcterms:modified xsi:type="dcterms:W3CDTF">2017-11-08T10:04:00Z</dcterms:modified>
</cp:coreProperties>
</file>