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79" w:rsidRPr="00341838" w:rsidRDefault="003B5379" w:rsidP="003B5379">
      <w:pPr>
        <w:snapToGrid w:val="0"/>
      </w:pPr>
      <w:r w:rsidRPr="00341838">
        <w:rPr>
          <w:rFonts w:ascii="標楷體" w:eastAsia="標楷體" w:hAnsi="標楷體" w:hint="eastAsia"/>
          <w:b/>
          <w:w w:val="90"/>
          <w:szCs w:val="28"/>
        </w:rPr>
        <w:t>附</w:t>
      </w:r>
      <w:r>
        <w:rPr>
          <w:rFonts w:ascii="標楷體" w:eastAsia="標楷體" w:hAnsi="標楷體" w:hint="eastAsia"/>
          <w:b/>
          <w:w w:val="90"/>
          <w:szCs w:val="28"/>
        </w:rPr>
        <w:t>件</w:t>
      </w:r>
      <w:bookmarkStart w:id="0" w:name="_GoBack"/>
      <w:bookmarkEnd w:id="0"/>
    </w:p>
    <w:p w:rsidR="003B5379" w:rsidRDefault="003B5379" w:rsidP="003B5379">
      <w:pPr>
        <w:rPr>
          <w:rFonts w:ascii="標楷體" w:eastAsia="標楷體" w:hAnsi="標楷體"/>
          <w:b/>
        </w:rPr>
      </w:pPr>
      <w:r w:rsidRPr="000D311A">
        <w:rPr>
          <w:rFonts w:ascii="標楷體" w:eastAsia="標楷體" w:hAnsi="標楷體" w:hint="eastAsia"/>
          <w:b/>
        </w:rPr>
        <w:t>個別化教育計畫相關支援服務應列出需教師助理員服務與</w:t>
      </w:r>
      <w:r>
        <w:rPr>
          <w:rFonts w:ascii="標楷體" w:eastAsia="標楷體" w:hAnsi="標楷體" w:hint="eastAsia"/>
          <w:b/>
        </w:rPr>
        <w:t>行政支持</w:t>
      </w:r>
      <w:r w:rsidRPr="000D311A">
        <w:rPr>
          <w:rFonts w:ascii="標楷體" w:eastAsia="標楷體" w:hAnsi="標楷體" w:hint="eastAsia"/>
          <w:b/>
        </w:rPr>
        <w:t>協助事項，</w:t>
      </w:r>
      <w:r>
        <w:rPr>
          <w:rFonts w:ascii="標楷體" w:eastAsia="標楷體" w:hAnsi="標楷體" w:hint="eastAsia"/>
          <w:b/>
        </w:rPr>
        <w:t>參考範例</w:t>
      </w:r>
      <w:r w:rsidRPr="000D311A">
        <w:rPr>
          <w:rFonts w:ascii="標楷體" w:eastAsia="標楷體" w:hAnsi="標楷體" w:hint="eastAsia"/>
          <w:b/>
        </w:rPr>
        <w:t>：</w:t>
      </w:r>
    </w:p>
    <w:p w:rsidR="003B5379" w:rsidRPr="000D311A" w:rsidRDefault="003B5379" w:rsidP="003B5379">
      <w:pPr>
        <w:rPr>
          <w:rFonts w:ascii="標楷體" w:eastAsia="標楷體" w:hAnsi="標楷體"/>
          <w:b/>
        </w:rPr>
      </w:pPr>
      <w:proofErr w:type="gramStart"/>
      <w:r w:rsidRPr="000D311A">
        <w:rPr>
          <w:rFonts w:ascii="標楷體" w:eastAsia="標楷體" w:hAnsi="標楷體" w:hint="eastAsia"/>
          <w:b/>
        </w:rPr>
        <w:t>（</w:t>
      </w:r>
      <w:proofErr w:type="gramEnd"/>
      <w:r w:rsidRPr="000D311A">
        <w:rPr>
          <w:rFonts w:ascii="標楷體" w:eastAsia="標楷體" w:hAnsi="標楷體" w:hint="eastAsia"/>
          <w:b/>
        </w:rPr>
        <w:t>摘自台灣師範大學</w:t>
      </w:r>
      <w:proofErr w:type="gramStart"/>
      <w:r w:rsidRPr="000D311A">
        <w:rPr>
          <w:rFonts w:ascii="標楷體" w:eastAsia="標楷體" w:hAnsi="標楷體" w:hint="eastAsia"/>
          <w:b/>
        </w:rPr>
        <w:t>特殊教育特殊教育</w:t>
      </w:r>
      <w:proofErr w:type="gramEnd"/>
      <w:r w:rsidRPr="000D311A">
        <w:rPr>
          <w:rFonts w:ascii="標楷體" w:eastAsia="標楷體" w:hAnsi="標楷體" w:hint="eastAsia"/>
          <w:b/>
        </w:rPr>
        <w:t>資源中心特殊教育發展共同原則及課程綱要總綱</w:t>
      </w:r>
      <w:r w:rsidRPr="000D311A">
        <w:rPr>
          <w:rFonts w:ascii="標楷體" w:eastAsia="標楷體" w:hAnsi="標楷體"/>
          <w:b/>
        </w:rPr>
        <w:t>http://www.ntnu.edu.tw/spc/drlusp_1/home.html</w:t>
      </w:r>
      <w:proofErr w:type="gramStart"/>
      <w:r w:rsidRPr="000D311A">
        <w:rPr>
          <w:rFonts w:ascii="標楷體" w:eastAsia="標楷體" w:hAnsi="標楷體" w:hint="eastAsia"/>
          <w:b/>
        </w:rPr>
        <w:t>）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00"/>
        <w:gridCol w:w="5040"/>
        <w:gridCol w:w="1899"/>
      </w:tblGrid>
      <w:tr w:rsidR="003B5379" w:rsidTr="002D2111">
        <w:trPr>
          <w:trHeight w:val="1251"/>
        </w:trPr>
        <w:tc>
          <w:tcPr>
            <w:tcW w:w="1008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相關支援與服務</w:t>
            </w:r>
          </w:p>
        </w:tc>
        <w:tc>
          <w:tcPr>
            <w:tcW w:w="1800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項目</w:t>
            </w:r>
          </w:p>
        </w:tc>
        <w:tc>
          <w:tcPr>
            <w:tcW w:w="5040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方式</w:t>
            </w:r>
          </w:p>
        </w:tc>
        <w:tc>
          <w:tcPr>
            <w:tcW w:w="1899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負責單位(人)</w:t>
            </w:r>
          </w:p>
          <w:p w:rsidR="003B5379" w:rsidRPr="00F156F0" w:rsidRDefault="003B5379" w:rsidP="002D2111">
            <w:pPr>
              <w:pStyle w:val="Default"/>
              <w:rPr>
                <w:b/>
                <w:sz w:val="23"/>
                <w:szCs w:val="23"/>
              </w:rPr>
            </w:pPr>
            <w:r w:rsidRPr="00F156F0">
              <w:rPr>
                <w:rFonts w:hint="eastAsia"/>
                <w:b/>
                <w:sz w:val="23"/>
                <w:szCs w:val="23"/>
              </w:rPr>
              <w:t>請詳列該項目執行工作人員</w:t>
            </w:r>
          </w:p>
        </w:tc>
      </w:tr>
      <w:tr w:rsidR="003B5379" w:rsidTr="002D2111">
        <w:trPr>
          <w:trHeight w:val="2268"/>
        </w:trPr>
        <w:tc>
          <w:tcPr>
            <w:tcW w:w="1008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800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040" w:type="dxa"/>
          </w:tcPr>
          <w:p w:rsidR="003B5379" w:rsidRPr="000D311A" w:rsidRDefault="003B5379" w:rsidP="002D21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9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</w:p>
        </w:tc>
      </w:tr>
      <w:tr w:rsidR="003B5379" w:rsidTr="002D2111">
        <w:trPr>
          <w:trHeight w:val="2269"/>
        </w:trPr>
        <w:tc>
          <w:tcPr>
            <w:tcW w:w="1008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1800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040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9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</w:p>
        </w:tc>
      </w:tr>
      <w:tr w:rsidR="003B5379" w:rsidTr="002D2111">
        <w:trPr>
          <w:trHeight w:val="2268"/>
        </w:trPr>
        <w:tc>
          <w:tcPr>
            <w:tcW w:w="1008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800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040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9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</w:p>
        </w:tc>
      </w:tr>
      <w:tr w:rsidR="003B5379" w:rsidTr="002D2111">
        <w:trPr>
          <w:trHeight w:val="2269"/>
        </w:trPr>
        <w:tc>
          <w:tcPr>
            <w:tcW w:w="1008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040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9" w:type="dxa"/>
          </w:tcPr>
          <w:p w:rsidR="003B5379" w:rsidRDefault="003B5379" w:rsidP="002D211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B5379" w:rsidRPr="00920214" w:rsidRDefault="003B5379" w:rsidP="003B5379"/>
    <w:p w:rsidR="003B5379" w:rsidRDefault="003B5379" w:rsidP="003B5379">
      <w:pPr>
        <w:snapToGrid w:val="0"/>
        <w:rPr>
          <w:rFonts w:ascii="標楷體" w:eastAsia="標楷體" w:hAnsi="標楷體"/>
          <w:b/>
          <w:bCs/>
          <w:sz w:val="32"/>
          <w:szCs w:val="28"/>
        </w:rPr>
      </w:pPr>
    </w:p>
    <w:p w:rsidR="00FE6C2D" w:rsidRDefault="00FE6C2D"/>
    <w:sectPr w:rsidR="00FE6C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79"/>
    <w:rsid w:val="003B5379"/>
    <w:rsid w:val="00AE3143"/>
    <w:rsid w:val="00F56813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EAED56-303C-4652-B4C9-20266318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3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537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2021-06-15T07:56:00Z</dcterms:created>
  <dcterms:modified xsi:type="dcterms:W3CDTF">2021-06-15T07:56:00Z</dcterms:modified>
</cp:coreProperties>
</file>