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7" w:rsidRPr="00B84167" w:rsidRDefault="00B84167" w:rsidP="00B84167">
      <w:pPr>
        <w:widowControl/>
        <w:jc w:val="both"/>
        <w:rPr>
          <w:rFonts w:ascii="微軟正黑體" w:eastAsia="微軟正黑體" w:hAnsi="微軟正黑體"/>
          <w:sz w:val="26"/>
          <w:szCs w:val="26"/>
          <w:highlight w:val="yellow"/>
        </w:rPr>
      </w:pPr>
      <w:bookmarkStart w:id="0" w:name="_GoBack"/>
      <w:bookmarkEnd w:id="0"/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 w:hint="eastAsia"/>
          <w:b/>
          <w:sz w:val="32"/>
          <w:szCs w:val="32"/>
        </w:rPr>
        <w:t>身心障礙學生教材設計教師手冊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</w:rPr>
      </w:pPr>
      <w:r w:rsidRPr="00B84167">
        <w:rPr>
          <w:rFonts w:ascii="微軟正黑體" w:eastAsia="微軟正黑體" w:hAnsi="微軟正黑體" w:hint="eastAsia"/>
          <w:b/>
        </w:rPr>
        <w:t>領域/科目名稱：（含特需）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</w:rPr>
      </w:pP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 w:val="20"/>
        </w:rPr>
      </w:pPr>
      <w:proofErr w:type="gramStart"/>
      <w:r w:rsidRPr="00B84167">
        <w:rPr>
          <w:rFonts w:ascii="微軟正黑體" w:eastAsia="微軟正黑體" w:hAnsi="微軟正黑體" w:hint="eastAsia"/>
          <w:b/>
          <w:szCs w:val="32"/>
        </w:rPr>
        <w:t>適用班型</w:t>
      </w:r>
      <w:proofErr w:type="gramEnd"/>
      <w:r w:rsidRPr="00B84167">
        <w:rPr>
          <w:rFonts w:ascii="微軟正黑體" w:eastAsia="微軟正黑體" w:hAnsi="微軟正黑體" w:hint="eastAsia"/>
          <w:b/>
          <w:szCs w:val="32"/>
        </w:rPr>
        <w:t>：</w:t>
      </w: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普通班</w:t>
      </w: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分散式資源班</w:t>
      </w: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集中式特殊教育班</w:t>
      </w: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巡迴輔導班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="微軟正黑體" w:eastAsia="微軟正黑體" w:hAnsi="微軟正黑體" w:hint="eastAsia"/>
          <w:b/>
          <w:szCs w:val="32"/>
        </w:rPr>
        <w:t>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可複選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第一學習階段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國小年級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第二學習階段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國小年級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第三學習階段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國小年級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第四學習階段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國中年級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  <w:r w:rsidRPr="00B84167">
        <w:rPr>
          <w:rFonts w:asciiTheme="minorEastAsia" w:eastAsiaTheme="minorEastAsia" w:hAnsiTheme="minorEastAsia" w:hint="eastAsia"/>
          <w:b/>
          <w:szCs w:val="32"/>
        </w:rPr>
        <w:t>□</w:t>
      </w:r>
      <w:r w:rsidRPr="00B84167">
        <w:rPr>
          <w:rFonts w:ascii="微軟正黑體" w:eastAsia="微軟正黑體" w:hAnsi="微軟正黑體" w:hint="eastAsia"/>
          <w:b/>
          <w:szCs w:val="32"/>
        </w:rPr>
        <w:t>第五學習階段</w:t>
      </w:r>
      <w:r w:rsidRPr="00B84167">
        <w:rPr>
          <w:rFonts w:ascii="微軟正黑體" w:eastAsia="微軟正黑體" w:hAnsi="微軟正黑體"/>
          <w:b/>
          <w:szCs w:val="32"/>
        </w:rPr>
        <w:t>(</w:t>
      </w:r>
      <w:r w:rsidRPr="00B84167">
        <w:rPr>
          <w:rFonts w:ascii="微軟正黑體" w:eastAsia="微軟正黑體" w:hAnsi="微軟正黑體" w:hint="eastAsia"/>
          <w:b/>
          <w:szCs w:val="32"/>
        </w:rPr>
        <w:t>高中年級</w:t>
      </w:r>
      <w:r w:rsidRPr="00B84167">
        <w:rPr>
          <w:rFonts w:ascii="微軟正黑體" w:eastAsia="微軟正黑體" w:hAnsi="微軟正黑體"/>
          <w:b/>
          <w:szCs w:val="32"/>
        </w:rPr>
        <w:t>)</w:t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Cs w:val="32"/>
        </w:rPr>
      </w:pPr>
    </w:p>
    <w:p w:rsidR="00D87160" w:rsidRPr="00D87160" w:rsidRDefault="00D87160" w:rsidP="00B84167">
      <w:pPr>
        <w:jc w:val="both"/>
        <w:rPr>
          <w:rFonts w:ascii="微軟正黑體" w:eastAsia="微軟正黑體" w:hAnsi="微軟正黑體"/>
          <w:b/>
          <w:szCs w:val="32"/>
        </w:rPr>
      </w:pPr>
      <w:r w:rsidRPr="00D87160">
        <w:rPr>
          <w:rFonts w:ascii="微軟正黑體" w:eastAsia="微軟正黑體" w:hAnsi="微軟正黑體" w:hint="eastAsia"/>
          <w:b/>
          <w:szCs w:val="32"/>
        </w:rPr>
        <w:t>前導學校：</w:t>
      </w:r>
      <w:r w:rsidRPr="00D87160">
        <w:rPr>
          <w:rFonts w:ascii="微軟正黑體" w:eastAsia="微軟正黑體" w:hAnsi="微軟正黑體" w:hint="eastAsia"/>
          <w:b/>
          <w:szCs w:val="32"/>
          <w:u w:val="single"/>
        </w:rPr>
        <w:t xml:space="preserve">      </w:t>
      </w:r>
      <w:r w:rsidRPr="00D87160">
        <w:rPr>
          <w:rFonts w:ascii="微軟正黑體" w:eastAsia="微軟正黑體" w:hAnsi="微軟正黑體" w:hint="eastAsia"/>
          <w:b/>
          <w:szCs w:val="32"/>
        </w:rPr>
        <w:t>區</w:t>
      </w:r>
      <w:r w:rsidRPr="00D87160">
        <w:rPr>
          <w:rFonts w:ascii="微軟正黑體" w:eastAsia="微軟正黑體" w:hAnsi="微軟正黑體" w:hint="eastAsia"/>
          <w:b/>
          <w:szCs w:val="32"/>
          <w:u w:val="single"/>
        </w:rPr>
        <w:t xml:space="preserve">                          </w:t>
      </w:r>
      <w:r w:rsidRPr="00D87160">
        <w:rPr>
          <w:rFonts w:ascii="微軟正黑體" w:eastAsia="微軟正黑體" w:hAnsi="微軟正黑體" w:hint="eastAsia"/>
          <w:b/>
          <w:szCs w:val="32"/>
        </w:rPr>
        <w:t>學校</w:t>
      </w:r>
    </w:p>
    <w:p w:rsidR="00B84167" w:rsidRPr="00B84167" w:rsidRDefault="00B84167" w:rsidP="00B84167">
      <w:pPr>
        <w:jc w:val="both"/>
        <w:rPr>
          <w:rFonts w:ascii="微軟正黑體" w:eastAsia="微軟正黑體" w:hAnsi="微軟正黑體"/>
          <w:b/>
          <w:szCs w:val="32"/>
        </w:rPr>
      </w:pPr>
      <w:r w:rsidRPr="00B84167">
        <w:rPr>
          <w:rFonts w:ascii="微軟正黑體" w:eastAsia="微軟正黑體" w:hAnsi="微軟正黑體" w:hint="eastAsia"/>
          <w:b/>
          <w:szCs w:val="32"/>
        </w:rPr>
        <w:t>設計者：</w:t>
      </w:r>
    </w:p>
    <w:p w:rsidR="00B84167" w:rsidRPr="00B84167" w:rsidRDefault="00B84167" w:rsidP="00B84167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/>
          <w:b/>
          <w:sz w:val="32"/>
          <w:szCs w:val="32"/>
        </w:rPr>
        <w:lastRenderedPageBreak/>
        <w:t>目錄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1"/>
        <w:gridCol w:w="1585"/>
      </w:tblGrid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/>
                <w:b/>
                <w:sz w:val="32"/>
                <w:szCs w:val="32"/>
              </w:rPr>
              <w:t>單元名稱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頁次</w:t>
            </w: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/>
                <w:b/>
                <w:sz w:val="32"/>
                <w:szCs w:val="32"/>
              </w:rPr>
              <w:t>單元</w:t>
            </w:r>
            <w:proofErr w:type="gramStart"/>
            <w:r w:rsidRPr="00B84167">
              <w:rPr>
                <w:rFonts w:ascii="微軟正黑體" w:eastAsia="微軟正黑體" w:hAnsi="微軟正黑體"/>
                <w:b/>
                <w:sz w:val="32"/>
                <w:szCs w:val="32"/>
              </w:rPr>
              <w:t>一</w:t>
            </w:r>
            <w:proofErr w:type="gramEnd"/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/>
                <w:b/>
                <w:sz w:val="32"/>
                <w:szCs w:val="32"/>
              </w:rPr>
              <w:t>單元二</w:t>
            </w:r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</w:t>
            </w:r>
            <w:proofErr w:type="gramStart"/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三</w:t>
            </w:r>
            <w:proofErr w:type="gramEnd"/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：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單元四：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單元五：</w:t>
            </w: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84167" w:rsidRPr="00B84167" w:rsidTr="00A215FA">
        <w:tc>
          <w:tcPr>
            <w:tcW w:w="6711" w:type="dxa"/>
          </w:tcPr>
          <w:p w:rsidR="00B84167" w:rsidRPr="00B84167" w:rsidRDefault="00B84167" w:rsidP="00A215FA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585" w:type="dxa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</w:tbl>
    <w:p w:rsidR="00B84167" w:rsidRPr="00B84167" w:rsidRDefault="00B84167" w:rsidP="00B84167">
      <w:pPr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B84167">
        <w:rPr>
          <w:rFonts w:ascii="微軟正黑體" w:eastAsia="微軟正黑體" w:hAnsi="微軟正黑體" w:hint="eastAsia"/>
          <w:b/>
          <w:sz w:val="22"/>
          <w:szCs w:val="32"/>
        </w:rPr>
        <w:t>註</w:t>
      </w:r>
      <w:proofErr w:type="gramEnd"/>
      <w:r w:rsidRPr="00B84167">
        <w:rPr>
          <w:rFonts w:ascii="微軟正黑體" w:eastAsia="微軟正黑體" w:hAnsi="微軟正黑體" w:hint="eastAsia"/>
          <w:b/>
          <w:sz w:val="22"/>
          <w:szCs w:val="32"/>
        </w:rPr>
        <w:t>：一學期請至少編製五個單元。</w:t>
      </w:r>
    </w:p>
    <w:p w:rsidR="00B84167" w:rsidRPr="00B84167" w:rsidRDefault="00B84167" w:rsidP="00B84167">
      <w:pPr>
        <w:widowControl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單元</w:t>
      </w:r>
      <w:proofErr w:type="gramStart"/>
      <w:r w:rsidRPr="00B84167">
        <w:rPr>
          <w:rFonts w:ascii="微軟正黑體" w:eastAsia="微軟正黑體" w:hAnsi="微軟正黑體" w:hint="eastAsia"/>
          <w:b/>
          <w:sz w:val="32"/>
          <w:szCs w:val="32"/>
        </w:rPr>
        <w:t>一</w:t>
      </w:r>
      <w:proofErr w:type="gramEnd"/>
      <w:r w:rsidRPr="00B84167">
        <w:rPr>
          <w:rFonts w:ascii="微軟正黑體" w:eastAsia="微軟正黑體" w:hAnsi="微軟正黑體" w:hint="eastAsia"/>
          <w:b/>
          <w:sz w:val="32"/>
          <w:szCs w:val="32"/>
        </w:rPr>
        <w:t>：（名稱）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490"/>
        <w:gridCol w:w="1275"/>
        <w:gridCol w:w="2403"/>
      </w:tblGrid>
      <w:tr w:rsidR="00B84167" w:rsidRPr="00B84167" w:rsidTr="00A215FA">
        <w:trPr>
          <w:trHeight w:val="51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教學總時間</w:t>
            </w:r>
          </w:p>
        </w:tc>
        <w:tc>
          <w:tcPr>
            <w:tcW w:w="3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節(分)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 w:cs="Gungsuh"/>
                <w:b/>
              </w:rPr>
            </w:pPr>
            <w:r w:rsidRPr="00B84167">
              <w:rPr>
                <w:rFonts w:ascii="微軟正黑體" w:eastAsia="微軟正黑體" w:hAnsi="微軟正黑體" w:cs="Gungsuh" w:hint="eastAsia"/>
                <w:b/>
              </w:rPr>
              <w:t>設計者</w:t>
            </w:r>
          </w:p>
        </w:tc>
        <w:tc>
          <w:tcPr>
            <w:tcW w:w="2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 w:cs="標楷體"/>
              </w:rPr>
            </w:pPr>
          </w:p>
        </w:tc>
      </w:tr>
      <w:tr w:rsidR="00B84167" w:rsidRPr="00B84167" w:rsidTr="00A215FA">
        <w:trPr>
          <w:trHeight w:val="1020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設計</w:t>
            </w:r>
            <w:r w:rsidRPr="00B84167">
              <w:rPr>
                <w:rFonts w:ascii="微軟正黑體" w:eastAsia="微軟正黑體" w:hAnsi="微軟正黑體"/>
                <w:b/>
              </w:rPr>
              <w:t>理念</w:t>
            </w:r>
          </w:p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/>
                <w:b/>
              </w:rPr>
              <w:t>與</w:t>
            </w:r>
          </w:p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教材分析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請說明本單元設計的想法，可以包括使用的教學理論、課程模式；並簡述本單元所包括的主題或重要活動名稱及彼此關係。）</w:t>
            </w:r>
          </w:p>
        </w:tc>
      </w:tr>
      <w:tr w:rsidR="00B84167" w:rsidRPr="00B84167" w:rsidTr="00A215FA">
        <w:trPr>
          <w:trHeight w:val="850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核心素養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/>
              </w:rPr>
              <w:t>領綱核心</w:t>
            </w:r>
            <w:proofErr w:type="gramEnd"/>
            <w:r w:rsidRPr="00B84167">
              <w:rPr>
                <w:rFonts w:ascii="微軟正黑體" w:eastAsia="微軟正黑體" w:hAnsi="微軟正黑體"/>
              </w:rPr>
              <w:t>素養</w:t>
            </w:r>
            <w:r w:rsidRPr="00B84167">
              <w:rPr>
                <w:rFonts w:ascii="微軟正黑體" w:eastAsia="微軟正黑體" w:hAnsi="微軟正黑體" w:hint="eastAsia"/>
              </w:rPr>
              <w:t>：</w:t>
            </w: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請列舉出高度相關之領綱核心素養精神與意涵。）</w:t>
            </w:r>
          </w:p>
        </w:tc>
      </w:tr>
      <w:tr w:rsidR="00B84167" w:rsidRPr="00B84167" w:rsidTr="00A215FA">
        <w:trPr>
          <w:trHeight w:val="1020"/>
          <w:jc w:val="center"/>
        </w:trPr>
        <w:tc>
          <w:tcPr>
            <w:tcW w:w="1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學習重點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學習表現：</w:t>
            </w: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請列出該領綱中對應之學習表現或調整後的學習表現，且能具體表現在學習目標上。）</w:t>
            </w:r>
          </w:p>
        </w:tc>
      </w:tr>
      <w:tr w:rsidR="00B84167" w:rsidRPr="00B84167" w:rsidTr="00A215FA">
        <w:trPr>
          <w:trHeight w:val="1020"/>
          <w:jc w:val="center"/>
        </w:trPr>
        <w:tc>
          <w:tcPr>
            <w:tcW w:w="1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/>
              </w:rPr>
              <w:t>學習內容</w:t>
            </w:r>
            <w:r w:rsidRPr="00B84167">
              <w:rPr>
                <w:rFonts w:ascii="微軟正黑體" w:eastAsia="微軟正黑體" w:hAnsi="微軟正黑體" w:hint="eastAsia"/>
              </w:rPr>
              <w:t>：</w:t>
            </w: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請列出該領綱中對應之學習</w:t>
            </w:r>
            <w:r w:rsidR="00A06136" w:rsidRPr="00B84167">
              <w:rPr>
                <w:rFonts w:ascii="微軟正黑體" w:eastAsia="微軟正黑體" w:hAnsi="微軟正黑體" w:hint="eastAsia"/>
              </w:rPr>
              <w:t>內容</w:t>
            </w:r>
            <w:r w:rsidRPr="00B84167">
              <w:rPr>
                <w:rFonts w:ascii="微軟正黑體" w:eastAsia="微軟正黑體" w:hAnsi="微軟正黑體" w:hint="eastAsia"/>
              </w:rPr>
              <w:t>或調整後的學習內容，且能具體表現在學習目標上。）</w:t>
            </w:r>
          </w:p>
        </w:tc>
      </w:tr>
      <w:tr w:rsidR="00B84167" w:rsidRPr="00B84167" w:rsidTr="00A215FA">
        <w:trPr>
          <w:trHeight w:val="1727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融入議題</w:t>
            </w:r>
          </w:p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(可複選)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家庭教育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生命教育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品德教育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人權教育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法治教育</w:t>
            </w:r>
          </w:p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環境教育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海洋教育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資訊教育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性別平等教育</w:t>
            </w:r>
          </w:p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科技教育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能源教育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安全</w:t>
            </w:r>
            <w:r w:rsidRPr="00B84167">
              <w:rPr>
                <w:rFonts w:ascii="微軟正黑體" w:eastAsia="微軟正黑體" w:hAnsi="微軟正黑體" w:hint="eastAsia"/>
              </w:rPr>
              <w:t>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生涯規劃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多元文化</w:t>
            </w:r>
          </w:p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閱讀素養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戶外教育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國際教育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/>
              </w:rPr>
              <w:t>原住民族教育</w:t>
            </w:r>
            <w:r w:rsidRPr="00B84167">
              <w:rPr>
                <w:rFonts w:asciiTheme="minorEastAsia" w:eastAsiaTheme="minorEastAsia" w:hAnsiTheme="minorEastAsia" w:hint="eastAsia"/>
                <w:b/>
                <w:szCs w:val="32"/>
              </w:rPr>
              <w:t>□</w:t>
            </w:r>
            <w:r w:rsidRPr="00B84167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B84167" w:rsidRPr="00B84167" w:rsidTr="00A215FA">
        <w:trPr>
          <w:trHeight w:val="1080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/>
                <w:b/>
              </w:rPr>
              <w:t>議題融入之學習重點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</w:t>
            </w:r>
            <w:r w:rsidRPr="00B84167">
              <w:rPr>
                <w:rFonts w:ascii="微軟正黑體" w:eastAsia="微軟正黑體" w:hAnsi="微軟正黑體"/>
              </w:rPr>
              <w:t>依上面勾選之融入議題</w:t>
            </w:r>
            <w:r w:rsidRPr="00B84167">
              <w:rPr>
                <w:rFonts w:ascii="微軟正黑體" w:eastAsia="微軟正黑體" w:hAnsi="微軟正黑體" w:hint="eastAsia"/>
              </w:rPr>
              <w:t>，</w:t>
            </w:r>
            <w:r w:rsidRPr="00B84167">
              <w:rPr>
                <w:rFonts w:ascii="微軟正黑體" w:eastAsia="微軟正黑體" w:hAnsi="微軟正黑體"/>
              </w:rPr>
              <w:t>建議先</w:t>
            </w:r>
            <w:r w:rsidRPr="00B84167">
              <w:rPr>
                <w:rFonts w:ascii="微軟正黑體" w:eastAsia="微軟正黑體" w:hAnsi="微軟正黑體" w:hint="eastAsia"/>
              </w:rPr>
              <w:t>列出將融入的議題實質內容，請參見「十二年國民基本教育課程綱要國民中小學暨普通型高級中等學校-議題融入說明手冊」。再列出示例中融入之學習重點(學習表現與學習內容)及說明，建議同時於教學活動設計之備註欄說明。）</w:t>
            </w:r>
          </w:p>
        </w:tc>
      </w:tr>
      <w:tr w:rsidR="00B84167" w:rsidRPr="00B84167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學習目標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</w:t>
            </w:r>
            <w:r w:rsidRPr="00B84167">
              <w:rPr>
                <w:rFonts w:ascii="微軟正黑體" w:eastAsia="微軟正黑體" w:hAnsi="微軟正黑體"/>
              </w:rPr>
              <w:t>根據學習重點擬定本單元具體要達成的學習目標</w:t>
            </w:r>
            <w:r w:rsidRPr="00B841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B84167" w:rsidRPr="00B84167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教學準備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請列出</w:t>
            </w:r>
            <w:r w:rsidRPr="00B84167">
              <w:rPr>
                <w:rFonts w:ascii="微軟正黑體" w:eastAsia="微軟正黑體" w:hAnsi="微軟正黑體"/>
              </w:rPr>
              <w:t>上課地點</w:t>
            </w:r>
            <w:r w:rsidRPr="00B84167">
              <w:rPr>
                <w:rFonts w:ascii="微軟正黑體" w:eastAsia="微軟正黑體" w:hAnsi="微軟正黑體" w:hint="eastAsia"/>
              </w:rPr>
              <w:t>、</w:t>
            </w:r>
            <w:r w:rsidRPr="00B84167">
              <w:rPr>
                <w:rFonts w:ascii="微軟正黑體" w:eastAsia="微軟正黑體" w:hAnsi="微軟正黑體"/>
              </w:rPr>
              <w:t>教學資源</w:t>
            </w:r>
            <w:r w:rsidRPr="00B84167">
              <w:rPr>
                <w:rFonts w:ascii="微軟正黑體" w:eastAsia="微軟正黑體" w:hAnsi="微軟正黑體" w:hint="eastAsia"/>
              </w:rPr>
              <w:t>、</w:t>
            </w:r>
            <w:r w:rsidRPr="00B84167">
              <w:rPr>
                <w:rFonts w:ascii="微軟正黑體" w:eastAsia="微軟正黑體" w:hAnsi="微軟正黑體"/>
              </w:rPr>
              <w:t>設備或人力</w:t>
            </w:r>
            <w:r w:rsidRPr="00B841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B84167" w:rsidRPr="00B84167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與其他科目連結建議</w:t>
            </w:r>
          </w:p>
        </w:tc>
        <w:tc>
          <w:tcPr>
            <w:tcW w:w="71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widowControl/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84167" w:rsidRPr="00B84167" w:rsidTr="00A215FA">
        <w:trPr>
          <w:trHeight w:val="1134"/>
          <w:jc w:val="center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4167">
              <w:rPr>
                <w:rFonts w:ascii="微軟正黑體" w:eastAsia="微軟正黑體" w:hAnsi="微軟正黑體" w:hint="eastAsia"/>
                <w:b/>
              </w:rPr>
              <w:t>教</w:t>
            </w:r>
            <w:r w:rsidRPr="00B84167">
              <w:rPr>
                <w:rFonts w:ascii="微軟正黑體" w:eastAsia="微軟正黑體" w:hAnsi="微軟正黑體"/>
                <w:b/>
              </w:rPr>
              <w:t>材來源</w:t>
            </w:r>
          </w:p>
        </w:tc>
        <w:tc>
          <w:tcPr>
            <w:tcW w:w="716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4167" w:rsidRPr="00B84167" w:rsidRDefault="00B84167" w:rsidP="00A215FA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B841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B84167">
              <w:rPr>
                <w:rFonts w:ascii="微軟正黑體" w:eastAsia="微軟正黑體" w:hAnsi="微軟正黑體" w:hint="eastAsia"/>
              </w:rPr>
              <w:t>請列出</w:t>
            </w:r>
            <w:r w:rsidRPr="00B84167">
              <w:rPr>
                <w:rFonts w:ascii="微軟正黑體" w:eastAsia="微軟正黑體" w:hAnsi="微軟正黑體"/>
              </w:rPr>
              <w:t>參考資料</w:t>
            </w:r>
            <w:r w:rsidRPr="00B84167">
              <w:rPr>
                <w:rFonts w:ascii="微軟正黑體" w:eastAsia="微軟正黑體" w:hAnsi="微軟正黑體" w:hint="eastAsia"/>
              </w:rPr>
              <w:t>、</w:t>
            </w:r>
            <w:r w:rsidRPr="00B84167">
              <w:rPr>
                <w:rFonts w:ascii="微軟正黑體" w:eastAsia="微軟正黑體" w:hAnsi="微軟正黑體"/>
              </w:rPr>
              <w:t>教科書或網站</w:t>
            </w:r>
            <w:r w:rsidRPr="00B84167">
              <w:rPr>
                <w:rFonts w:ascii="微軟正黑體" w:eastAsia="微軟正黑體" w:hAnsi="微軟正黑體" w:hint="eastAsia"/>
              </w:rPr>
              <w:t>。）</w:t>
            </w:r>
          </w:p>
        </w:tc>
      </w:tr>
    </w:tbl>
    <w:p w:rsidR="00B84167" w:rsidRPr="00B84167" w:rsidRDefault="00B84167" w:rsidP="00B84167">
      <w:pPr>
        <w:widowControl/>
      </w:pPr>
      <w:r w:rsidRPr="00B84167">
        <w:br w:type="page"/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4"/>
        <w:gridCol w:w="1701"/>
        <w:gridCol w:w="1276"/>
        <w:gridCol w:w="1276"/>
        <w:gridCol w:w="1559"/>
      </w:tblGrid>
      <w:tr w:rsidR="00B84167" w:rsidRPr="00B84167" w:rsidTr="00A215FA">
        <w:trPr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lastRenderedPageBreak/>
              <w:t>教學活動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教學資源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評量方式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4167" w:rsidRPr="00B84167" w:rsidRDefault="00B84167" w:rsidP="00A215FA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B84167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B84167" w:rsidRPr="00B84167" w:rsidTr="00A215FA">
        <w:trPr>
          <w:trHeight w:val="12409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167" w:rsidRPr="00B84167" w:rsidRDefault="00B84167" w:rsidP="00A215FA">
            <w:pPr>
              <w:spacing w:line="44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B84167" w:rsidRPr="00B84167" w:rsidRDefault="00B84167" w:rsidP="00B84167">
      <w:pPr>
        <w:widowControl/>
        <w:spacing w:line="36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B84167">
        <w:rPr>
          <w:rFonts w:ascii="微軟正黑體" w:eastAsia="微軟正黑體" w:hAnsi="微軟正黑體" w:hint="eastAsia"/>
          <w:szCs w:val="28"/>
        </w:rPr>
        <w:t>備註：請於「教學活動」一欄中簡要呈現本單元主要教學活動的實施流程，包含引起動機、發展活動及綜合活動的內容。</w:t>
      </w:r>
      <w:r w:rsidRPr="00B84167"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B84167" w:rsidRPr="00B84167" w:rsidRDefault="00B84167" w:rsidP="00B8416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84167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本單元實施情形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79"/>
        <w:gridCol w:w="4180"/>
      </w:tblGrid>
      <w:tr w:rsidR="00B84167" w:rsidRPr="00B84167" w:rsidTr="00A215FA">
        <w:trPr>
          <w:trHeight w:val="294"/>
        </w:trPr>
        <w:tc>
          <w:tcPr>
            <w:tcW w:w="4179" w:type="dxa"/>
          </w:tcPr>
          <w:p w:rsidR="00B84167" w:rsidRPr="00B84167" w:rsidRDefault="00B84167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Cs w:val="28"/>
              </w:rPr>
              <w:t>教學照片1</w:t>
            </w:r>
          </w:p>
        </w:tc>
        <w:tc>
          <w:tcPr>
            <w:tcW w:w="4180" w:type="dxa"/>
          </w:tcPr>
          <w:p w:rsidR="00B84167" w:rsidRPr="00B84167" w:rsidRDefault="00B84167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Cs w:val="28"/>
              </w:rPr>
              <w:t>教學照片2</w:t>
            </w:r>
          </w:p>
        </w:tc>
      </w:tr>
      <w:tr w:rsidR="00B84167" w:rsidRPr="00B84167" w:rsidTr="00A215FA">
        <w:trPr>
          <w:trHeight w:val="6803"/>
        </w:trPr>
        <w:tc>
          <w:tcPr>
            <w:tcW w:w="4179" w:type="dxa"/>
          </w:tcPr>
          <w:p w:rsidR="00B84167" w:rsidRPr="00B84167" w:rsidRDefault="00B84167" w:rsidP="00A215FA">
            <w:pPr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80" w:type="dxa"/>
          </w:tcPr>
          <w:p w:rsidR="00B84167" w:rsidRPr="00B84167" w:rsidRDefault="00B84167" w:rsidP="00A215FA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B84167" w:rsidRPr="00B84167" w:rsidTr="00A215FA">
        <w:trPr>
          <w:trHeight w:val="130"/>
        </w:trPr>
        <w:tc>
          <w:tcPr>
            <w:tcW w:w="8359" w:type="dxa"/>
            <w:gridSpan w:val="2"/>
          </w:tcPr>
          <w:p w:rsidR="00B84167" w:rsidRPr="00B84167" w:rsidRDefault="00B84167" w:rsidP="00A215FA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841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實施情形與省思</w:t>
            </w:r>
          </w:p>
        </w:tc>
      </w:tr>
      <w:tr w:rsidR="00B84167" w:rsidRPr="00B84167" w:rsidTr="00A215FA">
        <w:trPr>
          <w:trHeight w:val="4365"/>
        </w:trPr>
        <w:tc>
          <w:tcPr>
            <w:tcW w:w="8359" w:type="dxa"/>
            <w:gridSpan w:val="2"/>
          </w:tcPr>
          <w:p w:rsidR="00B84167" w:rsidRPr="00B84167" w:rsidRDefault="00B84167" w:rsidP="00A215FA">
            <w:pPr>
              <w:spacing w:line="360" w:lineRule="auto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B84167" w:rsidRPr="00B84167" w:rsidRDefault="00B84167" w:rsidP="00B84167">
      <w:pPr>
        <w:spacing w:line="360" w:lineRule="exact"/>
        <w:jc w:val="both"/>
        <w:rPr>
          <w:rFonts w:ascii="微軟正黑體" w:eastAsia="微軟正黑體" w:hAnsi="微軟正黑體"/>
          <w:b/>
        </w:rPr>
      </w:pPr>
      <w:r w:rsidRPr="00B84167">
        <w:rPr>
          <w:rFonts w:ascii="微軟正黑體" w:eastAsia="微軟正黑體" w:hAnsi="微軟正黑體" w:hint="eastAsia"/>
          <w:b/>
        </w:rPr>
        <w:t>備註：考量學生隱私及權益，請勿選用學生正面照或於文字中出現其姓名。</w:t>
      </w:r>
    </w:p>
    <w:p w:rsidR="000F118D" w:rsidRPr="00B84167" w:rsidRDefault="000F118D"/>
    <w:sectPr w:rsidR="000F118D" w:rsidRPr="00B84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4D" w:rsidRDefault="00545E4D" w:rsidP="00FD1C60">
      <w:r>
        <w:separator/>
      </w:r>
    </w:p>
  </w:endnote>
  <w:endnote w:type="continuationSeparator" w:id="0">
    <w:p w:rsidR="00545E4D" w:rsidRDefault="00545E4D" w:rsidP="00FD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4D" w:rsidRDefault="00545E4D" w:rsidP="00FD1C60">
      <w:r>
        <w:separator/>
      </w:r>
    </w:p>
  </w:footnote>
  <w:footnote w:type="continuationSeparator" w:id="0">
    <w:p w:rsidR="00545E4D" w:rsidRDefault="00545E4D" w:rsidP="00FD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7"/>
    <w:rsid w:val="000F118D"/>
    <w:rsid w:val="00260351"/>
    <w:rsid w:val="002C3329"/>
    <w:rsid w:val="00545E4D"/>
    <w:rsid w:val="00635C43"/>
    <w:rsid w:val="006E1D91"/>
    <w:rsid w:val="00A06136"/>
    <w:rsid w:val="00B84167"/>
    <w:rsid w:val="00D87160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C6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C6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1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2018-08-14T05:26:00Z</dcterms:created>
  <dcterms:modified xsi:type="dcterms:W3CDTF">2019-01-10T12:50:00Z</dcterms:modified>
</cp:coreProperties>
</file>